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6F82" w14:textId="61758D3B" w:rsidR="00C41885" w:rsidRPr="00086506" w:rsidRDefault="00C41885" w:rsidP="00C41885">
      <w:pPr>
        <w:pStyle w:val="Titlu4"/>
        <w:spacing w:line="345" w:lineRule="atLeast"/>
        <w:jc w:val="right"/>
        <w:rPr>
          <w:rFonts w:ascii="Arial" w:eastAsia="Times New Roman" w:hAnsi="Arial" w:cs="Arial"/>
          <w:noProof/>
          <w:color w:val="333333"/>
          <w:sz w:val="24"/>
          <w:szCs w:val="24"/>
          <w:lang w:val="ro-RO"/>
        </w:rPr>
      </w:pPr>
      <w:r w:rsidRPr="00086506">
        <w:rPr>
          <w:rFonts w:ascii="Arial" w:eastAsia="Times New Roman" w:hAnsi="Arial" w:cs="Arial"/>
          <w:noProof/>
          <w:color w:val="333333"/>
          <w:lang w:val="ro-RO"/>
        </w:rPr>
        <w:t xml:space="preserve">ANEXA Nr. </w:t>
      </w:r>
      <w:r w:rsidR="00D10B4B">
        <w:rPr>
          <w:rFonts w:ascii="Arial" w:eastAsia="Times New Roman" w:hAnsi="Arial" w:cs="Arial"/>
          <w:noProof/>
          <w:color w:val="333333"/>
          <w:lang w:val="ro-RO"/>
        </w:rPr>
        <w:t>8</w:t>
      </w:r>
    </w:p>
    <w:p w14:paraId="2D67791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PROIECTANT,</w:t>
      </w:r>
    </w:p>
    <w:p w14:paraId="759D16E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 . . . . . . . .</w:t>
      </w:r>
    </w:p>
    <w:p w14:paraId="2685B5C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(denumirea persoanei juridice şi datele de identificare)</w:t>
      </w:r>
    </w:p>
    <w:p w14:paraId="729B5CF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Nr. . . . . . . . . . ./. . . . . . . . . ./. . . . . . . . ./</w:t>
      </w:r>
    </w:p>
    <w:p w14:paraId="4D499EF5" w14:textId="77777777" w:rsidR="00C41885" w:rsidRPr="00086506" w:rsidRDefault="00C41885" w:rsidP="00C41885">
      <w:pPr>
        <w:spacing w:line="345" w:lineRule="atLeast"/>
        <w:jc w:val="both"/>
        <w:rPr>
          <w:rFonts w:ascii="Arial" w:eastAsia="Times New Roman" w:hAnsi="Arial" w:cs="Arial"/>
          <w:noProof/>
          <w:color w:val="333333"/>
          <w:sz w:val="21"/>
          <w:szCs w:val="21"/>
          <w:lang w:val="ro-RO"/>
        </w:rPr>
      </w:pPr>
    </w:p>
    <w:p w14:paraId="1C63FE57" w14:textId="77777777" w:rsidR="00C41885" w:rsidRPr="00086506" w:rsidRDefault="00C41885" w:rsidP="00C41885">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t>DOCUMENTAŢIE DE AVIZARE</w:t>
      </w:r>
      <w:r w:rsidRPr="00086506">
        <w:rPr>
          <w:rFonts w:ascii="Arial" w:eastAsia="Times New Roman" w:hAnsi="Arial" w:cs="Arial"/>
          <w:b/>
          <w:bCs/>
          <w:noProof/>
          <w:color w:val="333333"/>
          <w:sz w:val="26"/>
          <w:szCs w:val="26"/>
          <w:lang w:val="ro-RO"/>
        </w:rPr>
        <w:br/>
        <w:t>a lucrărilor de intervenţii</w:t>
      </w:r>
      <w:r w:rsidRPr="00086506">
        <w:rPr>
          <w:rFonts w:ascii="Arial" w:eastAsia="Times New Roman" w:hAnsi="Arial" w:cs="Arial"/>
          <w:b/>
          <w:bCs/>
          <w:noProof/>
          <w:color w:val="333333"/>
          <w:sz w:val="26"/>
          <w:szCs w:val="26"/>
          <w:lang w:val="ro-RO"/>
        </w:rPr>
        <w:br/>
        <w:t>- conţinut-cadru</w:t>
      </w:r>
      <w:r w:rsidRPr="00086506">
        <w:rPr>
          <w:rFonts w:ascii="Arial" w:eastAsia="Times New Roman" w:hAnsi="Arial" w:cs="Arial"/>
          <w:b/>
          <w:bCs/>
          <w:noProof/>
          <w:color w:val="333333"/>
          <w:sz w:val="26"/>
          <w:szCs w:val="26"/>
          <w:vertAlign w:val="superscript"/>
          <w:lang w:val="ro-RO"/>
        </w:rPr>
        <w:t>1)</w:t>
      </w:r>
      <w:r w:rsidRPr="00086506">
        <w:rPr>
          <w:rFonts w:ascii="Arial" w:eastAsia="Times New Roman" w:hAnsi="Arial" w:cs="Arial"/>
          <w:b/>
          <w:bCs/>
          <w:noProof/>
          <w:color w:val="333333"/>
          <w:sz w:val="26"/>
          <w:szCs w:val="26"/>
          <w:lang w:val="ro-RO"/>
        </w:rPr>
        <w:t xml:space="preserve"> -</w:t>
      </w:r>
    </w:p>
    <w:p w14:paraId="4321013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1)</w:t>
      </w:r>
      <w:r w:rsidRPr="00086506">
        <w:rPr>
          <w:rFonts w:ascii="Arial" w:hAnsi="Arial" w:cs="Arial"/>
          <w:noProof/>
          <w:color w:val="333333"/>
          <w:sz w:val="21"/>
          <w:szCs w:val="21"/>
          <w:lang w:val="ro-RO"/>
        </w:rPr>
        <w:t xml:space="preserve"> Conţinutul-cadru al documentaţiei de avizare a lucrărilor de intervenţii poate fi adaptat, în funcţie de specificul şi complexitatea obiectivului de investiţii propus.</w:t>
      </w:r>
    </w:p>
    <w:p w14:paraId="6438318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PIESE SCRISE</w:t>
      </w:r>
    </w:p>
    <w:p w14:paraId="5AD1221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Informaţii generale privind obiectivul de investiţii</w:t>
      </w:r>
    </w:p>
    <w:p w14:paraId="2415DDF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1.1. Denumirea obiectivului de investiţii</w:t>
      </w:r>
    </w:p>
    <w:p w14:paraId="75F03D9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1.2. Ordonator principal de credite/investitor</w:t>
      </w:r>
    </w:p>
    <w:p w14:paraId="1C78B2C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1.3. Ordonator de credite (secundar/terţiar)</w:t>
      </w:r>
    </w:p>
    <w:p w14:paraId="5D6FA18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1.4. Beneficiarul investiţiei</w:t>
      </w:r>
    </w:p>
    <w:p w14:paraId="1E93E5E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1.5. Elaboratorul documentaţiei de avizare a lucrărilor de intervenţie</w:t>
      </w:r>
    </w:p>
    <w:p w14:paraId="2AE8659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Situaţia existentă şi necesitatea realizării lucrărilor de intervenţii</w:t>
      </w:r>
    </w:p>
    <w:p w14:paraId="308DA64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2.1. Prezentarea contextului: politici, strategii, legislaţie, acorduri relevante, structuri instituţionale şi financiare</w:t>
      </w:r>
    </w:p>
    <w:p w14:paraId="452FA3A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2.2. Analiza situaţiei existente şi identificarea necesităţilor şi a deficienţelor</w:t>
      </w:r>
    </w:p>
    <w:p w14:paraId="4FA6965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2.3. Obiective preconizate a fi atinse prin realizarea investiţiei publice</w:t>
      </w:r>
    </w:p>
    <w:p w14:paraId="44E32CF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Descrierea construcţiei existente</w:t>
      </w:r>
    </w:p>
    <w:p w14:paraId="5A4044D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3.1. Particularităţi ale amplasamentului:</w:t>
      </w:r>
    </w:p>
    <w:p w14:paraId="6E9DA86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amplasamentului (localizare - intravilan/extravilan, suprafaţa terenului, dimensiuni în plan);</w:t>
      </w:r>
    </w:p>
    <w:p w14:paraId="3153198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relaţiile cu zone învecinate, accesuri existente şi/sau căi de acces posibile;</w:t>
      </w:r>
    </w:p>
    <w:p w14:paraId="5C07A8F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datele seismice şi climatice;</w:t>
      </w:r>
    </w:p>
    <w:p w14:paraId="2CE9B97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studii de teren:</w:t>
      </w:r>
    </w:p>
    <w:p w14:paraId="1D7BCFE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 studiu geotehnic pentru soluţia de consolidare a infrastructurii conform reglementărilor tehnice în vigoare;</w:t>
      </w:r>
    </w:p>
    <w:p w14:paraId="31E2F4E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 studii de specialitate necesare, precum studii topografice, geologice, de stabilitate ale terenului, hidrologice, hidrogeotehnice, după caz;</w:t>
      </w:r>
    </w:p>
    <w:p w14:paraId="6ADA400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situaţia utilităţilor tehnico-edilitare existente;</w:t>
      </w:r>
    </w:p>
    <w:p w14:paraId="51D6F48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analiza vulnerabilităţilor cauzate de factori de risc, antropici şi naturali, inclusiv de schimbări climatice ce pot afecta investiţia;</w:t>
      </w:r>
    </w:p>
    <w:p w14:paraId="3E70C5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g) informaţii privind posibile interferenţe cu monumente istorice/de arhitectură sau situri arheologice pe amplasament sau în zona imediat învecinată; existenţa condiţionărilor specifice în cazul existenţei unor zone protejate.</w:t>
      </w:r>
    </w:p>
    <w:p w14:paraId="0752B84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3.2. Regimul juridic:</w:t>
      </w:r>
    </w:p>
    <w:p w14:paraId="0B74087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natura proprietăţii sau titlul asupra construcţiei existente, inclusiv servituţi, drept de preempţiune;</w:t>
      </w:r>
    </w:p>
    <w:p w14:paraId="7D753EB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destinaţia construcţiei existente;</w:t>
      </w:r>
    </w:p>
    <w:p w14:paraId="15F457B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includerea construcţiei existente în listele monumentelor istorice, situri arheologice, arii naturale protejate, precum şi zonele de protecţie ale acestora şi în zone construite protejate, după caz;</w:t>
      </w:r>
    </w:p>
    <w:p w14:paraId="59D4C6F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informaţii/obligaţii/constrângeri extrase din documentaţiile de urbanism, după caz.</w:t>
      </w:r>
    </w:p>
    <w:p w14:paraId="52E2BFC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3.3. Caracteristici tehnice şi parametri specifici:</w:t>
      </w:r>
    </w:p>
    <w:p w14:paraId="5FE36C3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categoria şi clasa de importanţă;</w:t>
      </w:r>
    </w:p>
    <w:p w14:paraId="32BC362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cod în Lista monumentelor istorice, după caz;</w:t>
      </w:r>
    </w:p>
    <w:p w14:paraId="79774A4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an/ani/perioade de construire pentru fiecare corp de construcţie;</w:t>
      </w:r>
    </w:p>
    <w:p w14:paraId="7068FE7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suprafaţa construită;</w:t>
      </w:r>
    </w:p>
    <w:p w14:paraId="06F6636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suprafaţa construită desfăşurată;</w:t>
      </w:r>
    </w:p>
    <w:p w14:paraId="355080B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valoarea de inventar a construcţiei;</w:t>
      </w:r>
    </w:p>
    <w:p w14:paraId="6C6606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g) alţi parametri, în funcţie de specificul şi natura construcţiei existente.</w:t>
      </w:r>
    </w:p>
    <w:p w14:paraId="211174A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35B57B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3.5. Starea tehnică, inclusiv sistemul structural şi analiza diagnostic, din punctul de vedere al asigurării cerinţelor fundamentale aplicabile, potrivit legii.</w:t>
      </w:r>
    </w:p>
    <w:p w14:paraId="0E49B3C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3.6. Actul doveditor al forţei majore, după caz.</w:t>
      </w:r>
    </w:p>
    <w:p w14:paraId="3C83178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Concluziile expertizei tehnice şi, după caz, ale auditului energetic, concluziile studiilor de diagnosticare</w:t>
      </w: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w:t>
      </w:r>
    </w:p>
    <w:p w14:paraId="0C2AC3B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 xml:space="preserve">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p>
    <w:p w14:paraId="5FA3920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clasa de risc seismic;</w:t>
      </w:r>
    </w:p>
    <w:p w14:paraId="21271AF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prezentarea a minimum două soluţii de intervenţie;</w:t>
      </w:r>
    </w:p>
    <w:p w14:paraId="74428DE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soluţiile tehnice şi măsurile propuse de către expertul tehnic şi, după caz, auditorul energetic spre a fi dezvoltate în cadrul documentaţiei de avizare a lucrărilor de intervenţii;</w:t>
      </w:r>
    </w:p>
    <w:p w14:paraId="384AFA1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recomandarea intervenţiilor necesare pentru asigurarea funcţionării conform cerinţelor şi conform exigenţelor de calitate.</w:t>
      </w:r>
    </w:p>
    <w:p w14:paraId="2F69F5B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5. Identificarea scenariilor/opţiunilor tehnico-economice (minimum două) şi analiza detaliată a acestora</w:t>
      </w:r>
    </w:p>
    <w:p w14:paraId="0F0341E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5.1. Soluţia tehnică, din punct de vedere tehnologic, constructiv, tehnic, funcţional-arhitectural şi economic, cuprinzând:</w:t>
      </w:r>
    </w:p>
    <w:p w14:paraId="0B03C9A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principalelor lucrări de intervenţie pentru:</w:t>
      </w:r>
    </w:p>
    <w:p w14:paraId="2B5CE9B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consolidarea elementelor, subansamblurilor sau a ansamblului structural;</w:t>
      </w:r>
    </w:p>
    <w:p w14:paraId="267F9CC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protejarea, repararea elementelor nestructurale şi/sau restaurarea elementelor arhitecturale şi a componentelor artistice, după caz;</w:t>
      </w:r>
    </w:p>
    <w:p w14:paraId="08AD483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intervenţii de protejare/conservare a elementelor naturale şi antropice existente valoroase, după caz;</w:t>
      </w:r>
    </w:p>
    <w:p w14:paraId="7AB857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demolarea parţială a unor elemente structurale/nestructurale, cu/fără modificarea configuraţiei şi/sau a funcţiunii existente a construcţiei;</w:t>
      </w:r>
    </w:p>
    <w:p w14:paraId="0CFBC45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introducerea unor elemente structurale/nestructurale suplimentare;</w:t>
      </w:r>
    </w:p>
    <w:p w14:paraId="31A894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introducerea de dispozitive antiseismice pentru reducerea răspunsului seismic al construcţiei existente;</w:t>
      </w:r>
    </w:p>
    <w:p w14:paraId="2B52EA5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26F6110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analiza vulnerabilităţilor cauzate de factori de risc, antropici şi naturali, inclusiv de schimbări climatice ce pot afecta investiţia;</w:t>
      </w:r>
    </w:p>
    <w:p w14:paraId="48F7530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informaţii privind posibile interferenţe cu monumente istorice/de arhitectură sau situri arheologice pe amplasament sau în zona imediat învecinată; existenţa condiţionărilor specifice în cazul existenţei unor zone protejate;</w:t>
      </w:r>
    </w:p>
    <w:p w14:paraId="5339944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caracteristicile tehnice şi parametrii specifici investiţiei rezultate în urma realizării lucrărilor de intervenţie.</w:t>
      </w:r>
    </w:p>
    <w:p w14:paraId="62F9517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5.2. Necesarul de utilităţi rezultate, inclusiv estimări privind depăşirea consumurilor iniţiale de utilităţi şi modul de asigurare a consumurilor suplimentare</w:t>
      </w:r>
    </w:p>
    <w:p w14:paraId="11B7F40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5.3. Durata de realizare şi etapele principale corelate cu datele prevăzute în graficul orientativ de realizare a investiţiei, detaliat pe etape principale</w:t>
      </w:r>
    </w:p>
    <w:p w14:paraId="5918FB7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5.4. Costurile estimative ale investiţiei:</w:t>
      </w:r>
    </w:p>
    <w:p w14:paraId="2E74F9E6" w14:textId="47BC7EB7" w:rsidR="00C41885" w:rsidRPr="00086506" w:rsidRDefault="00C41885" w:rsidP="00C41885">
      <w:pPr>
        <w:spacing w:line="345" w:lineRule="atLeast"/>
        <w:jc w:val="both"/>
        <w:rPr>
          <w:rFonts w:ascii="Arial" w:eastAsia="Times New Roman" w:hAnsi="Arial" w:cs="Arial"/>
          <w:noProof/>
          <w:color w:val="339966"/>
          <w:sz w:val="21"/>
          <w:szCs w:val="21"/>
          <w:lang w:val="ro-RO"/>
        </w:rPr>
      </w:pPr>
      <w:r w:rsidRPr="00086506">
        <w:rPr>
          <w:rFonts w:ascii="Arial" w:eastAsia="Times New Roman" w:hAnsi="Arial" w:cs="Arial"/>
          <w:noProof/>
          <w:color w:val="339966"/>
          <w:sz w:val="21"/>
          <w:szCs w:val="21"/>
          <w:lang w:val="ro-RO"/>
        </w:rPr>
        <w:t xml:space="preserve">23/11/2023 - subpunctul a fost </w:t>
      </w:r>
      <w:hyperlink r:id="rId4" w:anchor="p-545762479&amp;opt=M&amp;idRel=38939520" w:history="1">
        <w:r w:rsidRPr="00086506">
          <w:rPr>
            <w:rStyle w:val="Hyperlink"/>
            <w:rFonts w:ascii="Arial" w:eastAsia="Times New Roman" w:hAnsi="Arial" w:cs="Arial"/>
            <w:noProof/>
            <w:sz w:val="21"/>
            <w:szCs w:val="21"/>
            <w:lang w:val="ro-RO"/>
          </w:rPr>
          <w:t>modificat</w:t>
        </w:r>
      </w:hyperlink>
      <w:r w:rsidRPr="00086506">
        <w:rPr>
          <w:rFonts w:ascii="Arial" w:eastAsia="Times New Roman" w:hAnsi="Arial" w:cs="Arial"/>
          <w:noProof/>
          <w:color w:val="339966"/>
          <w:sz w:val="21"/>
          <w:szCs w:val="21"/>
          <w:lang w:val="ro-RO"/>
        </w:rPr>
        <w:t xml:space="preserve"> prin Hotărâre </w:t>
      </w:r>
      <w:hyperlink r:id="rId5" w:anchor="p-545762479" w:history="1">
        <w:r w:rsidRPr="00086506">
          <w:rPr>
            <w:rStyle w:val="Hyperlink"/>
            <w:rFonts w:ascii="Arial" w:eastAsia="Times New Roman" w:hAnsi="Arial" w:cs="Arial"/>
            <w:noProof/>
            <w:sz w:val="21"/>
            <w:szCs w:val="21"/>
            <w:lang w:val="ro-RO"/>
          </w:rPr>
          <w:t>1116/2023</w:t>
        </w:r>
      </w:hyperlink>
    </w:p>
    <w:p w14:paraId="58A3C05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pentru realizarea investiţiei, estimate pe baza preţurilor existente pe piaţă la momentul elaborării/revizuirii/actualizării documentaţiei de avizare a lucrărilor de intervenţii sau pe baza unor standarde de cost pentru investiţii similare realizate prin programe de investiţii finanţate din fonduri publice, corelate cu caracteristicile tehnice şi parametrii specifici obiectivului de investiţii, aplicate la cantităţile de lucrări estimate;</w:t>
      </w:r>
    </w:p>
    <w:p w14:paraId="1D160CD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estimative de operare pe durata normată de viaţă/amortizare a investiţiei.</w:t>
      </w:r>
    </w:p>
    <w:p w14:paraId="71F7620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5.5. Sustenabilitatea realizării investiţiei:</w:t>
      </w:r>
    </w:p>
    <w:p w14:paraId="3A78A32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impactul social şi cultural;</w:t>
      </w:r>
    </w:p>
    <w:p w14:paraId="4117C55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estimări privind forţa de muncă ocupată prin realizarea investiţiei: în faza de realizare, în faza de operare;</w:t>
      </w:r>
    </w:p>
    <w:p w14:paraId="47FA80F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impactul asupra factorilor de mediu, inclusiv impactul asupra biodiversităţii şi a siturilor protejate, după caz.</w:t>
      </w:r>
    </w:p>
    <w:p w14:paraId="7032157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5.6. Analiza financiară şi economică aferentă realizării lucrărilor de intervenţie:</w:t>
      </w:r>
    </w:p>
    <w:p w14:paraId="4C6F381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prezentarea cadrului de analiză, inclusiv specificarea perioadei de referinţă şi prezentarea scenariului de referinţă;</w:t>
      </w:r>
    </w:p>
    <w:p w14:paraId="61C8E3B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analiza cererii de bunuri şi servicii care justifică necesitatea şi dimensionarea investiţiei, inclusiv prognoze pe termen mediu şi lung;</w:t>
      </w:r>
    </w:p>
    <w:p w14:paraId="72D3BC6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analiza financiară; sustenabilitatea financiară;</w:t>
      </w:r>
    </w:p>
    <w:p w14:paraId="3FEF1FE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analiza economică; analiza cost-eficacitate;</w:t>
      </w:r>
    </w:p>
    <w:p w14:paraId="53A8613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analiza de riscuri, măsuri de prevenire/diminuare a riscurilor.</w:t>
      </w:r>
    </w:p>
    <w:p w14:paraId="7DA796C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 Scenariul/Opţiunea tehnico-economic(ă) optim(ă), recomandat(ă)</w:t>
      </w:r>
    </w:p>
    <w:p w14:paraId="2150824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6.1. Comparaţia scenariilor/opţiunilor propus(e), din punct de vedere tehnic, economic, financiar, al sustenabilităţii şi riscurilor</w:t>
      </w:r>
    </w:p>
    <w:p w14:paraId="28A1940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6.2. Selectarea şi justificarea scenariului/opţiunii optim(e), recomandat(e)</w:t>
      </w:r>
    </w:p>
    <w:p w14:paraId="59B80AD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6.3. Principalii indicatori tehnico-economici aferenţi investiţiei:</w:t>
      </w:r>
    </w:p>
    <w:p w14:paraId="0485769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indicatori maximali, respectiv valoarea totală a obiectivului de investiţii, exprimată în lei, cu TVA şi, respectiv, fără TVA, din care construcţii-montaj (C+M), în conformitate cu devizul general;</w:t>
      </w:r>
    </w:p>
    <w:p w14:paraId="0F240C9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5041FD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indicatori financiari, socioeconomici, de impact, de rezultat/operare, stabiliţi în funcţie de specificul şi ţinta fiecărui obiectiv de investiţii;</w:t>
      </w:r>
    </w:p>
    <w:p w14:paraId="3A45BE1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durata estimată de execuţie a obiectivului de investiţii, exprimată în luni.</w:t>
      </w:r>
    </w:p>
    <w:p w14:paraId="209B3E1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6.4. Prezentarea modului în care se asigură conformarea cu reglementările specifice funcţiunii preconizate din punctul de vedere al asigurării tuturor cerinţelor fundamentale aplicabile construcţiei, conform gradului de detaliere al propunerilor tehnice</w:t>
      </w:r>
    </w:p>
    <w:p w14:paraId="7EA902B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34DA1FF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 Urbanism, acorduri şi avize conforme</w:t>
      </w:r>
    </w:p>
    <w:p w14:paraId="2F0824F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7.1. Certificatul de urbanism emis în vederea obţinerii autorizaţiei de construire</w:t>
      </w:r>
    </w:p>
    <w:p w14:paraId="667EC4F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7.2. Studiu topografic, vizat de către Oficiul de Cadastru şi Publicitate Imobiliară</w:t>
      </w:r>
    </w:p>
    <w:p w14:paraId="2857ECA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7.3. Extras de carte funciară, cu excepţia cazurilor speciale, expres prevăzute de lege</w:t>
      </w:r>
    </w:p>
    <w:p w14:paraId="501EE59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7.4. Avize privind asigurarea utilităţilor, în cazul suplimentării capacităţii existente</w:t>
      </w:r>
    </w:p>
    <w:p w14:paraId="4C599AC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7.5. Actul administrativ al autorităţii competente pentru protecţia mediului, măsuri de diminuare a impactului, măsuri de compensare, modalitatea de integrare a prevederilor acordului de mediu, de principiu, în documentaţia tehnico-economică</w:t>
      </w:r>
    </w:p>
    <w:p w14:paraId="2494B4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7.6. Avize, acorduri şi studii specifice, după caz, care pot condiţiona soluţiile tehnice, precum:</w:t>
      </w:r>
    </w:p>
    <w:p w14:paraId="77D74FD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studiu privind posibilitatea utilizării unor sisteme alternative de eficienţă ridicată pentru creşterea performanţei energetice;</w:t>
      </w:r>
    </w:p>
    <w:p w14:paraId="1A1EA39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studiu de trafic şi studiu de circulaţie, după caz;</w:t>
      </w:r>
    </w:p>
    <w:p w14:paraId="2477234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raport de diagnostic arheologic, în cazul intervenţiilor în situri arheologice;</w:t>
      </w:r>
    </w:p>
    <w:p w14:paraId="0991874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studiu istoric, în cazul monumentelor istorice;</w:t>
      </w:r>
    </w:p>
    <w:p w14:paraId="2EFF8DE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studii de specialitate necesare în funcţie de specificul investiţiei.</w:t>
      </w:r>
    </w:p>
    <w:p w14:paraId="1CF2B77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PIESE DESENATE</w:t>
      </w:r>
    </w:p>
    <w:p w14:paraId="2675626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În funcţie de categoria şi clasa de importanţă a obiectivului de investiţii, piesele desenate se vor prezenta la scări relevante în raport cu caracteristicile acestuia, cuprinzând:</w:t>
      </w:r>
    </w:p>
    <w:p w14:paraId="004D64F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Construcţia existentă:</w:t>
      </w:r>
    </w:p>
    <w:p w14:paraId="3426ECC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plan de amplasare în zonă;</w:t>
      </w:r>
    </w:p>
    <w:p w14:paraId="5456B66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plan de situaţie;</w:t>
      </w:r>
    </w:p>
    <w:p w14:paraId="1DA1994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releveu de arhitectură şi, după caz, structura şi instalaţii - planuri, secţiuni, faţade, cotate;</w:t>
      </w:r>
    </w:p>
    <w:p w14:paraId="5B81907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planşe specifice de analiză şi sinteză, în cazul intervenţiilor pe monumente istorice şi în zonele de protecţie aferente.</w:t>
      </w:r>
    </w:p>
    <w:p w14:paraId="1490A32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Scenariul/Opţiunea tehnico-economic(ă) optim(ă), recomandat(ă):</w:t>
      </w:r>
    </w:p>
    <w:p w14:paraId="0BD04BF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plan de amplasare în zonă;</w:t>
      </w:r>
    </w:p>
    <w:p w14:paraId="50FFF88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plan de situaţie;</w:t>
      </w:r>
    </w:p>
    <w:p w14:paraId="06EF630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planuri generale, faţade şi secţiuni caracteristice de arhitectură, cotate, scheme de principiu pentru rezistenţă şi instalaţii, volumetrii, scheme funcţionale, izometrice sau planuri specifice, după caz;</w:t>
      </w:r>
    </w:p>
    <w:p w14:paraId="28B6347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planuri generale, profile longitudinale şi transversale caracteristice, cotate, planuri specifice, după caz.</w:t>
      </w:r>
    </w:p>
    <w:p w14:paraId="7108ADC5" w14:textId="77777777" w:rsidR="00C41885" w:rsidRPr="00086506" w:rsidRDefault="00C41885" w:rsidP="00C41885">
      <w:pPr>
        <w:spacing w:line="345" w:lineRule="atLeast"/>
        <w:jc w:val="both"/>
        <w:rPr>
          <w:rFonts w:ascii="Arial" w:eastAsia="Times New Roman" w:hAnsi="Arial" w:cs="Arial"/>
          <w:noProof/>
          <w:color w:val="333333"/>
          <w:sz w:val="21"/>
          <w:szCs w:val="21"/>
          <w:lang w:val="ro-RO"/>
        </w:rPr>
      </w:pPr>
    </w:p>
    <w:p w14:paraId="74FF6343" w14:textId="77777777" w:rsidR="00C41885" w:rsidRPr="00086506" w:rsidRDefault="00C41885" w:rsidP="00C41885">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r>
    </w:p>
    <w:tbl>
      <w:tblPr>
        <w:tblW w:w="4650" w:type="dxa"/>
        <w:jc w:val="center"/>
        <w:tblCellMar>
          <w:top w:w="15" w:type="dxa"/>
          <w:left w:w="15" w:type="dxa"/>
          <w:bottom w:w="15" w:type="dxa"/>
          <w:right w:w="15" w:type="dxa"/>
        </w:tblCellMar>
        <w:tblLook w:val="04A0" w:firstRow="1" w:lastRow="0" w:firstColumn="1" w:lastColumn="0" w:noHBand="0" w:noVBand="1"/>
      </w:tblPr>
      <w:tblGrid>
        <w:gridCol w:w="6"/>
        <w:gridCol w:w="915"/>
        <w:gridCol w:w="3729"/>
      </w:tblGrid>
      <w:tr w:rsidR="00C41885" w:rsidRPr="00086506" w14:paraId="165724C4" w14:textId="77777777" w:rsidTr="002C4446">
        <w:trPr>
          <w:trHeight w:val="15"/>
          <w:jc w:val="center"/>
        </w:trPr>
        <w:tc>
          <w:tcPr>
            <w:tcW w:w="0" w:type="auto"/>
            <w:tcMar>
              <w:top w:w="0" w:type="dxa"/>
              <w:left w:w="0" w:type="dxa"/>
              <w:bottom w:w="0" w:type="dxa"/>
              <w:right w:w="0" w:type="dxa"/>
            </w:tcMar>
            <w:hideMark/>
          </w:tcPr>
          <w:p w14:paraId="048FF58F" w14:textId="77777777" w:rsidR="00C41885" w:rsidRPr="00086506" w:rsidRDefault="00C41885" w:rsidP="002C4446">
            <w:pPr>
              <w:spacing w:line="345" w:lineRule="atLeast"/>
              <w:jc w:val="center"/>
              <w:rPr>
                <w:rFonts w:ascii="Arial" w:eastAsia="Times New Roman" w:hAnsi="Arial" w:cs="Arial"/>
                <w:b/>
                <w:bCs/>
                <w:noProof/>
                <w:color w:val="333333"/>
                <w:sz w:val="26"/>
                <w:szCs w:val="26"/>
                <w:lang w:val="ro-RO"/>
              </w:rPr>
            </w:pPr>
          </w:p>
        </w:tc>
        <w:tc>
          <w:tcPr>
            <w:tcW w:w="0" w:type="auto"/>
            <w:hideMark/>
          </w:tcPr>
          <w:p w14:paraId="21CC17F0" w14:textId="77777777" w:rsidR="00C41885" w:rsidRPr="00086506" w:rsidRDefault="00C41885" w:rsidP="002C4446">
            <w:pPr>
              <w:spacing w:line="345" w:lineRule="atLeast"/>
              <w:rPr>
                <w:rFonts w:eastAsia="Times New Roman"/>
                <w:noProof/>
                <w:sz w:val="20"/>
                <w:szCs w:val="20"/>
                <w:lang w:val="ro-RO"/>
              </w:rPr>
            </w:pPr>
          </w:p>
        </w:tc>
        <w:tc>
          <w:tcPr>
            <w:tcW w:w="0" w:type="auto"/>
            <w:hideMark/>
          </w:tcPr>
          <w:p w14:paraId="2DBF1360" w14:textId="77777777" w:rsidR="00C41885" w:rsidRPr="00086506" w:rsidRDefault="00C41885" w:rsidP="002C4446">
            <w:pPr>
              <w:spacing w:line="345" w:lineRule="atLeast"/>
              <w:rPr>
                <w:rFonts w:eastAsia="Times New Roman"/>
                <w:noProof/>
                <w:sz w:val="20"/>
                <w:szCs w:val="20"/>
                <w:lang w:val="ro-RO"/>
              </w:rPr>
            </w:pPr>
          </w:p>
        </w:tc>
      </w:tr>
      <w:tr w:rsidR="00C41885" w:rsidRPr="00086506" w14:paraId="4402DF6B" w14:textId="77777777" w:rsidTr="002C4446">
        <w:trPr>
          <w:trHeight w:val="1200"/>
          <w:jc w:val="center"/>
        </w:trPr>
        <w:tc>
          <w:tcPr>
            <w:tcW w:w="0" w:type="auto"/>
            <w:tcMar>
              <w:top w:w="0" w:type="dxa"/>
              <w:left w:w="0" w:type="dxa"/>
              <w:bottom w:w="0" w:type="dxa"/>
              <w:right w:w="0" w:type="dxa"/>
            </w:tcMar>
            <w:hideMark/>
          </w:tcPr>
          <w:p w14:paraId="282A3358" w14:textId="77777777" w:rsidR="00C41885" w:rsidRPr="00086506" w:rsidRDefault="00C41885" w:rsidP="002C4446">
            <w:pPr>
              <w:spacing w:line="345" w:lineRule="atLeast"/>
              <w:rPr>
                <w:rFonts w:eastAsia="Times New Roman"/>
                <w:noProof/>
                <w:sz w:val="20"/>
                <w:szCs w:val="20"/>
                <w:lang w:val="ro-RO"/>
              </w:rPr>
            </w:pPr>
          </w:p>
        </w:tc>
        <w:tc>
          <w:tcPr>
            <w:tcW w:w="0" w:type="auto"/>
            <w:tcBorders>
              <w:top w:val="nil"/>
              <w:left w:val="nil"/>
              <w:bottom w:val="nil"/>
              <w:right w:val="nil"/>
            </w:tcBorders>
            <w:hideMark/>
          </w:tcPr>
          <w:p w14:paraId="76007D06" w14:textId="77777777" w:rsidR="00C41885" w:rsidRPr="00086506" w:rsidRDefault="00C41885"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Data:</w:t>
            </w:r>
            <w:r w:rsidRPr="00086506">
              <w:rPr>
                <w:rFonts w:ascii="Arial" w:eastAsia="Times New Roman" w:hAnsi="Arial" w:cs="Arial"/>
                <w:noProof/>
                <w:color w:val="333333"/>
                <w:sz w:val="18"/>
                <w:szCs w:val="18"/>
                <w:lang w:val="ro-RO"/>
              </w:rPr>
              <w:br/>
              <w:t>. . . . . . . . . .</w:t>
            </w:r>
          </w:p>
        </w:tc>
        <w:tc>
          <w:tcPr>
            <w:tcW w:w="0" w:type="auto"/>
            <w:tcBorders>
              <w:top w:val="nil"/>
              <w:left w:val="nil"/>
              <w:bottom w:val="nil"/>
              <w:right w:val="nil"/>
            </w:tcBorders>
            <w:hideMark/>
          </w:tcPr>
          <w:p w14:paraId="0BC94904" w14:textId="77777777" w:rsidR="00C41885" w:rsidRPr="00086506" w:rsidRDefault="00C41885"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Proiectant</w:t>
            </w:r>
            <w:r w:rsidRPr="00086506">
              <w:rPr>
                <w:rFonts w:ascii="Arial" w:eastAsia="Times New Roman" w:hAnsi="Arial" w:cs="Arial"/>
                <w:noProof/>
                <w:color w:val="333333"/>
                <w:sz w:val="18"/>
                <w:szCs w:val="18"/>
                <w:vertAlign w:val="superscript"/>
                <w:lang w:val="ro-RO"/>
              </w:rPr>
              <w:t>3</w:t>
            </w:r>
            <w:r w:rsidRPr="00086506">
              <w:rPr>
                <w:rFonts w:ascii="Arial" w:eastAsia="Times New Roman" w:hAnsi="Arial" w:cs="Arial"/>
                <w:noProof/>
                <w:color w:val="333333"/>
                <w:sz w:val="18"/>
                <w:szCs w:val="18"/>
                <w:lang w:val="ro-RO"/>
              </w:rPr>
              <w:t>,</w:t>
            </w:r>
            <w:r w:rsidRPr="00086506">
              <w:rPr>
                <w:rFonts w:ascii="Arial" w:eastAsia="Times New Roman" w:hAnsi="Arial" w:cs="Arial"/>
                <w:noProof/>
                <w:color w:val="333333"/>
                <w:sz w:val="18"/>
                <w:szCs w:val="18"/>
                <w:lang w:val="ro-RO"/>
              </w:rPr>
              <w:br/>
              <w:t>. . . . . . . . . .</w:t>
            </w:r>
            <w:r w:rsidRPr="00086506">
              <w:rPr>
                <w:rFonts w:ascii="Arial" w:eastAsia="Times New Roman" w:hAnsi="Arial" w:cs="Arial"/>
                <w:noProof/>
                <w:color w:val="333333"/>
                <w:sz w:val="18"/>
                <w:szCs w:val="18"/>
                <w:lang w:val="ro-RO"/>
              </w:rPr>
              <w:br/>
              <w:t>(numele, funcţia şi semnătura persoanei autorizate)</w:t>
            </w:r>
            <w:r w:rsidRPr="00086506">
              <w:rPr>
                <w:rFonts w:ascii="Arial" w:eastAsia="Times New Roman" w:hAnsi="Arial" w:cs="Arial"/>
                <w:noProof/>
                <w:color w:val="333333"/>
                <w:sz w:val="18"/>
                <w:szCs w:val="18"/>
                <w:lang w:val="ro-RO"/>
              </w:rPr>
              <w:br/>
              <w:t>L.S.</w:t>
            </w:r>
          </w:p>
        </w:tc>
      </w:tr>
    </w:tbl>
    <w:p w14:paraId="3D41D1D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xml:space="preserve"> Documentaţia de avizare a lucrărilor de intervenţii va avea prevăzută, ca pagină de capăt, pagina de semnături, prin care elaboratorul acesteia îşi însuşeşte şi asumă datele şi soluţiile propuse, şi care va conţine cel puţin următoarele date: nr. . ./dată contract, numele şi prenumele în clar ale </w:t>
      </w:r>
      <w:r w:rsidRPr="00086506">
        <w:rPr>
          <w:rFonts w:ascii="Arial" w:hAnsi="Arial" w:cs="Arial"/>
          <w:noProof/>
          <w:color w:val="333333"/>
          <w:sz w:val="21"/>
          <w:szCs w:val="21"/>
          <w:lang w:val="ro-RO"/>
        </w:rPr>
        <w:lastRenderedPageBreak/>
        <w:t>proiectanţilor pe specialităţi, ale persoanei responsabile de proiect - şef de proiect/director de proiect, inclusiv semnăturile acestora şi ştampila.</w:t>
      </w:r>
    </w:p>
    <w:p w14:paraId="1A19D9A4" w14:textId="77777777" w:rsidR="00431CDA" w:rsidRDefault="00431CDA"/>
    <w:sectPr w:rsidR="00431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85"/>
    <w:rsid w:val="00080AEE"/>
    <w:rsid w:val="000F482C"/>
    <w:rsid w:val="002C0294"/>
    <w:rsid w:val="00312573"/>
    <w:rsid w:val="0040695A"/>
    <w:rsid w:val="00431CDA"/>
    <w:rsid w:val="005A67F9"/>
    <w:rsid w:val="00852BAA"/>
    <w:rsid w:val="00A47610"/>
    <w:rsid w:val="00AE554D"/>
    <w:rsid w:val="00C41885"/>
    <w:rsid w:val="00D10B4B"/>
    <w:rsid w:val="00EA55C5"/>
    <w:rsid w:val="00ED6DDF"/>
    <w:rsid w:val="00FA7FC5"/>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5B99"/>
  <w15:chartTrackingRefBased/>
  <w15:docId w15:val="{CF3B8E22-3A38-48D6-B0C1-FDCFCB3E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85"/>
    <w:pPr>
      <w:spacing w:line="278" w:lineRule="auto"/>
    </w:pPr>
    <w:rPr>
      <w:rFonts w:eastAsiaTheme="minorEastAsia"/>
      <w:sz w:val="24"/>
      <w:szCs w:val="24"/>
      <w:lang w:eastAsia="en-GB"/>
    </w:rPr>
  </w:style>
  <w:style w:type="paragraph" w:styleId="Titlu1">
    <w:name w:val="heading 1"/>
    <w:basedOn w:val="Normal"/>
    <w:next w:val="Normal"/>
    <w:link w:val="Titlu1Caracter"/>
    <w:uiPriority w:val="9"/>
    <w:qFormat/>
    <w:rsid w:val="00C4188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Titlu2">
    <w:name w:val="heading 2"/>
    <w:basedOn w:val="Normal"/>
    <w:next w:val="Normal"/>
    <w:link w:val="Titlu2Caracter"/>
    <w:uiPriority w:val="9"/>
    <w:semiHidden/>
    <w:unhideWhenUsed/>
    <w:qFormat/>
    <w:rsid w:val="00C4188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Titlu3">
    <w:name w:val="heading 3"/>
    <w:basedOn w:val="Normal"/>
    <w:next w:val="Normal"/>
    <w:link w:val="Titlu3Caracter"/>
    <w:uiPriority w:val="9"/>
    <w:semiHidden/>
    <w:unhideWhenUsed/>
    <w:qFormat/>
    <w:rsid w:val="00C41885"/>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Titlu4">
    <w:name w:val="heading 4"/>
    <w:basedOn w:val="Normal"/>
    <w:next w:val="Normal"/>
    <w:link w:val="Titlu4Caracter"/>
    <w:uiPriority w:val="9"/>
    <w:unhideWhenUsed/>
    <w:qFormat/>
    <w:rsid w:val="00C41885"/>
    <w:pPr>
      <w:keepNext/>
      <w:keepLines/>
      <w:spacing w:before="80" w:after="40" w:line="259" w:lineRule="auto"/>
      <w:outlineLvl w:val="3"/>
    </w:pPr>
    <w:rPr>
      <w:rFonts w:eastAsiaTheme="majorEastAsia" w:cstheme="majorBidi"/>
      <w:i/>
      <w:iCs/>
      <w:color w:val="2F5496" w:themeColor="accent1" w:themeShade="BF"/>
      <w:sz w:val="22"/>
      <w:szCs w:val="22"/>
      <w:lang w:eastAsia="en-US"/>
    </w:rPr>
  </w:style>
  <w:style w:type="paragraph" w:styleId="Titlu5">
    <w:name w:val="heading 5"/>
    <w:basedOn w:val="Normal"/>
    <w:next w:val="Normal"/>
    <w:link w:val="Titlu5Caracter"/>
    <w:uiPriority w:val="9"/>
    <w:semiHidden/>
    <w:unhideWhenUsed/>
    <w:qFormat/>
    <w:rsid w:val="00C41885"/>
    <w:pPr>
      <w:keepNext/>
      <w:keepLines/>
      <w:spacing w:before="80" w:after="40" w:line="259" w:lineRule="auto"/>
      <w:outlineLvl w:val="4"/>
    </w:pPr>
    <w:rPr>
      <w:rFonts w:eastAsiaTheme="majorEastAsia" w:cstheme="majorBidi"/>
      <w:color w:val="2F5496" w:themeColor="accent1" w:themeShade="BF"/>
      <w:sz w:val="22"/>
      <w:szCs w:val="22"/>
      <w:lang w:eastAsia="en-US"/>
    </w:rPr>
  </w:style>
  <w:style w:type="paragraph" w:styleId="Titlu6">
    <w:name w:val="heading 6"/>
    <w:basedOn w:val="Normal"/>
    <w:next w:val="Normal"/>
    <w:link w:val="Titlu6Caracter"/>
    <w:uiPriority w:val="9"/>
    <w:semiHidden/>
    <w:unhideWhenUsed/>
    <w:qFormat/>
    <w:rsid w:val="00C41885"/>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Titlu7">
    <w:name w:val="heading 7"/>
    <w:basedOn w:val="Normal"/>
    <w:next w:val="Normal"/>
    <w:link w:val="Titlu7Caracter"/>
    <w:uiPriority w:val="9"/>
    <w:semiHidden/>
    <w:unhideWhenUsed/>
    <w:qFormat/>
    <w:rsid w:val="00C41885"/>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Titlu8">
    <w:name w:val="heading 8"/>
    <w:basedOn w:val="Normal"/>
    <w:next w:val="Normal"/>
    <w:link w:val="Titlu8Caracter"/>
    <w:uiPriority w:val="9"/>
    <w:semiHidden/>
    <w:unhideWhenUsed/>
    <w:qFormat/>
    <w:rsid w:val="00C41885"/>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Titlu9">
    <w:name w:val="heading 9"/>
    <w:basedOn w:val="Normal"/>
    <w:next w:val="Normal"/>
    <w:link w:val="Titlu9Caracter"/>
    <w:uiPriority w:val="9"/>
    <w:semiHidden/>
    <w:unhideWhenUsed/>
    <w:qFormat/>
    <w:rsid w:val="00C41885"/>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4188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4188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4188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rsid w:val="00C4188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4188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4188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4188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4188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41885"/>
    <w:rPr>
      <w:rFonts w:eastAsiaTheme="majorEastAsia" w:cstheme="majorBidi"/>
      <w:color w:val="272727" w:themeColor="text1" w:themeTint="D8"/>
    </w:rPr>
  </w:style>
  <w:style w:type="paragraph" w:styleId="Titlu">
    <w:name w:val="Title"/>
    <w:basedOn w:val="Normal"/>
    <w:next w:val="Normal"/>
    <w:link w:val="TitluCaracter"/>
    <w:uiPriority w:val="10"/>
    <w:qFormat/>
    <w:rsid w:val="00C41885"/>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uCaracter">
    <w:name w:val="Titlu Caracter"/>
    <w:basedOn w:val="Fontdeparagrafimplicit"/>
    <w:link w:val="Titlu"/>
    <w:uiPriority w:val="10"/>
    <w:rsid w:val="00C4188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41885"/>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uCaracter">
    <w:name w:val="Subtitlu Caracter"/>
    <w:basedOn w:val="Fontdeparagrafimplicit"/>
    <w:link w:val="Subtitlu"/>
    <w:uiPriority w:val="11"/>
    <w:rsid w:val="00C4188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41885"/>
    <w:pPr>
      <w:spacing w:before="160" w:line="259" w:lineRule="auto"/>
      <w:jc w:val="center"/>
    </w:pPr>
    <w:rPr>
      <w:rFonts w:eastAsiaTheme="minorHAnsi"/>
      <w:i/>
      <w:iCs/>
      <w:color w:val="404040" w:themeColor="text1" w:themeTint="BF"/>
      <w:sz w:val="22"/>
      <w:szCs w:val="22"/>
      <w:lang w:eastAsia="en-US"/>
    </w:rPr>
  </w:style>
  <w:style w:type="character" w:customStyle="1" w:styleId="CitatCaracter">
    <w:name w:val="Citat Caracter"/>
    <w:basedOn w:val="Fontdeparagrafimplicit"/>
    <w:link w:val="Citat"/>
    <w:uiPriority w:val="29"/>
    <w:rsid w:val="00C41885"/>
    <w:rPr>
      <w:i/>
      <w:iCs/>
      <w:color w:val="404040" w:themeColor="text1" w:themeTint="BF"/>
    </w:rPr>
  </w:style>
  <w:style w:type="paragraph" w:styleId="Listparagraf">
    <w:name w:val="List Paragraph"/>
    <w:basedOn w:val="Normal"/>
    <w:uiPriority w:val="34"/>
    <w:qFormat/>
    <w:rsid w:val="00C41885"/>
    <w:pPr>
      <w:spacing w:line="259" w:lineRule="auto"/>
      <w:ind w:left="720"/>
      <w:contextualSpacing/>
    </w:pPr>
    <w:rPr>
      <w:rFonts w:eastAsiaTheme="minorHAnsi"/>
      <w:sz w:val="22"/>
      <w:szCs w:val="22"/>
      <w:lang w:eastAsia="en-US"/>
    </w:rPr>
  </w:style>
  <w:style w:type="character" w:styleId="Accentuareintens">
    <w:name w:val="Intense Emphasis"/>
    <w:basedOn w:val="Fontdeparagrafimplicit"/>
    <w:uiPriority w:val="21"/>
    <w:qFormat/>
    <w:rsid w:val="00C41885"/>
    <w:rPr>
      <w:i/>
      <w:iCs/>
      <w:color w:val="2F5496" w:themeColor="accent1" w:themeShade="BF"/>
    </w:rPr>
  </w:style>
  <w:style w:type="paragraph" w:styleId="Citatintens">
    <w:name w:val="Intense Quote"/>
    <w:basedOn w:val="Normal"/>
    <w:next w:val="Normal"/>
    <w:link w:val="CitatintensCaracter"/>
    <w:uiPriority w:val="30"/>
    <w:qFormat/>
    <w:rsid w:val="00C4188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sz w:val="22"/>
      <w:szCs w:val="22"/>
      <w:lang w:eastAsia="en-US"/>
    </w:rPr>
  </w:style>
  <w:style w:type="character" w:customStyle="1" w:styleId="CitatintensCaracter">
    <w:name w:val="Citat intens Caracter"/>
    <w:basedOn w:val="Fontdeparagrafimplicit"/>
    <w:link w:val="Citatintens"/>
    <w:uiPriority w:val="30"/>
    <w:rsid w:val="00C41885"/>
    <w:rPr>
      <w:i/>
      <w:iCs/>
      <w:color w:val="2F5496" w:themeColor="accent1" w:themeShade="BF"/>
    </w:rPr>
  </w:style>
  <w:style w:type="character" w:styleId="Referireintens">
    <w:name w:val="Intense Reference"/>
    <w:basedOn w:val="Fontdeparagrafimplicit"/>
    <w:uiPriority w:val="32"/>
    <w:qFormat/>
    <w:rsid w:val="00C41885"/>
    <w:rPr>
      <w:b/>
      <w:bCs/>
      <w:smallCaps/>
      <w:color w:val="2F5496" w:themeColor="accent1" w:themeShade="BF"/>
      <w:spacing w:val="5"/>
    </w:rPr>
  </w:style>
  <w:style w:type="character" w:styleId="Hyperlink">
    <w:name w:val="Hyperlink"/>
    <w:basedOn w:val="Fontdeparagrafimplicit"/>
    <w:uiPriority w:val="99"/>
    <w:semiHidden/>
    <w:unhideWhenUsed/>
    <w:rsid w:val="00C41885"/>
    <w:rPr>
      <w:color w:val="0000FF"/>
      <w:u w:val="single"/>
    </w:rPr>
  </w:style>
  <w:style w:type="paragraph" w:customStyle="1" w:styleId="al">
    <w:name w:val="a_l"/>
    <w:basedOn w:val="Normal"/>
    <w:rsid w:val="00C41885"/>
    <w:pPr>
      <w:spacing w:after="0" w:line="240" w:lineRule="auto"/>
      <w:jc w:val="both"/>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SMART\Downloads\ge2demrzgizdo\act%3fpid=545762479&amp;d=23-11-2023" TargetMode="External"/><Relationship Id="rId4" Type="http://schemas.openxmlformats.org/officeDocument/2006/relationships/hyperlink" Target="file:///C:\Users\SMART\Downloads\ge2demrzgizdo\act%3fpid=545762479&amp;d=23-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1890</Words>
  <Characters>10965</Characters>
  <Application>Microsoft Office Word</Application>
  <DocSecurity>0</DocSecurity>
  <Lines>91</Lines>
  <Paragraphs>25</Paragraphs>
  <ScaleCrop>false</ScaleCrop>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Mihai</cp:lastModifiedBy>
  <cp:revision>2</cp:revision>
  <dcterms:created xsi:type="dcterms:W3CDTF">2025-10-20T10:01:00Z</dcterms:created>
  <dcterms:modified xsi:type="dcterms:W3CDTF">2025-10-20T10:01:00Z</dcterms:modified>
</cp:coreProperties>
</file>